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69" w:lineRule="auto"/>
        <w:ind w:left="0" w:right="0" w:firstLine="700"/>
        <w:jc w:val="both"/>
      </w:pPr>
      <w:r>
        <w:rPr>
          <w:b/>
          <w:bCs/>
          <w:color w:val="000000"/>
          <w:spacing w:val="0"/>
          <w:w w:val="100"/>
          <w:position w:val="0"/>
        </w:rPr>
        <w:t>Дербентская межрайонная природоохранная прокуратура разъясняет вопросы законности правил лесовосстановления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Верховным судом Российской Федерации отказано в удовлетворении административного искового заявления организации о признании недействующим абзаца первого п. 7.1 Правил лесовосстановления, утвержденных приказом Министерства природных ресурсов и экологии Российской Федерации от 29.12.2021 № 1024.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Организация полагала, что формулировки указанного пункта нормативного правового акта в той части, в которой они предполагают обязанность лица, осуществляющего рубку лесных насаждений, выполнить работы по лесовосстановлению в субъекте Российской Федерации, на территории которого проведена рубка лесных насаждений, либо по согласованию с уполномоченным федеральным органом исполнительной власти на территориях иных субъектов Российской Федерации, ведет к невозможности заранее определить место исполнения договорных обязательств и влечет для субъектов бизнеса неспособность рассчитать расходы на выполнение обязательств, а также может привести к недобросовестной конкуренции.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Вместе с тем судебная инстанция указала, что порядок лесовосстановления определен Лесным кодексом Российской Федерации и оспариваемая норма им соответствует, конкретизируя порядок осуществления лесовосстановительных работ.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Правила в оспариваемой части соответствуют действующему законодательству Российской Федерации, требованию правовой определенности и по своему содержанию не допускают неоднозначного толкования.</w:t>
      </w:r>
    </w:p>
    <w:sectPr>
      <w:footnotePr>
        <w:pos w:val="pageBottom"/>
        <w:numFmt w:val="decimal"/>
        <w:numRestart w:val="continuous"/>
      </w:footnotePr>
      <w:pgSz w:w="11900" w:h="16840"/>
      <w:pgMar w:top="1381" w:right="872" w:bottom="1381" w:left="1610" w:header="953" w:footer="95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